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bookmarkStart w:id="0" w:name="__DdeLink__1008_3721987854"/>
      <w:r>
        <w:rPr/>
        <w:t>21.05.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Temat: Aminokwasy.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1. Podstawowymi związkami budującymi białka są </w:t>
      </w:r>
      <w:r>
        <w:fldChar w:fldCharType="begin"/>
      </w:r>
      <w:r>
        <w:instrText> HYPERLINK "https://epodreczniki.pl/a/aminy-i-aminokwasy/DEvxqjNri" \l "DEvxqjNri_pl_main_concept_3"</w:instrText>
      </w:r>
      <w:r>
        <w:fldChar w:fldCharType="separate"/>
      </w:r>
      <w:r>
        <w:rPr>
          <w:rStyle w:val="Czeinternetowe"/>
        </w:rPr>
        <w:t>aminokwasy</w:t>
      </w:r>
      <w:r>
        <w:fldChar w:fldCharType="end"/>
      </w:r>
      <w:r>
        <w:rPr/>
        <w:t xml:space="preserve"> – związki organiczne zawierające grupę aminową </w:t>
      </w:r>
      <w:bookmarkStart w:id="1" w:name="MathJax-Element-6-Frame"/>
      <w:bookmarkStart w:id="2" w:name="MathJax-Span-50"/>
      <w:bookmarkStart w:id="3" w:name="MathJax-Span-51"/>
      <w:bookmarkStart w:id="4" w:name="MathJax-Span-52"/>
      <w:bookmarkEnd w:id="1"/>
      <w:bookmarkEnd w:id="2"/>
      <w:bookmarkEnd w:id="3"/>
      <w:bookmarkEnd w:id="4"/>
      <w:r>
        <w:rPr/>
        <w:t xml:space="preserve">– </w:t>
      </w:r>
      <w:r>
        <w:rPr>
          <w:rFonts w:ascii="MathJax Main" w:hAnsi="MathJax Main"/>
        </w:rPr>
        <w:t>N</w:t>
      </w:r>
      <w:bookmarkStart w:id="5" w:name="MathJax-Span-53"/>
      <w:bookmarkStart w:id="6" w:name="MathJax-Span-54"/>
      <w:bookmarkStart w:id="7" w:name="MathJax-Span-55"/>
      <w:bookmarkEnd w:id="5"/>
      <w:bookmarkEnd w:id="6"/>
      <w:bookmarkEnd w:id="7"/>
      <w:r>
        <w:rPr>
          <w:rFonts w:ascii="MathJax Main" w:hAnsi="MathJax Main"/>
        </w:rPr>
        <w:t>H</w:t>
      </w:r>
      <w:r>
        <w:rPr>
          <w:rFonts w:ascii="MathJax Main" w:hAnsi="MathJax Main"/>
          <w:vertAlign w:val="subscript"/>
        </w:rPr>
        <w:t>2</w:t>
      </w:r>
      <w:r>
        <w:rPr/>
        <w:t xml:space="preserve"> i grupę charakterystyczną dla kwasów karboksylowych </w:t>
      </w:r>
      <w:bookmarkStart w:id="8" w:name="MathJax-Element-7-Frame"/>
      <w:bookmarkStart w:id="9" w:name="MathJax-Span-58"/>
      <w:bookmarkStart w:id="10" w:name="MathJax-Span-59"/>
      <w:bookmarkStart w:id="11" w:name="MathJax-Span-60"/>
      <w:bookmarkEnd w:id="8"/>
      <w:bookmarkEnd w:id="9"/>
      <w:bookmarkEnd w:id="10"/>
      <w:bookmarkEnd w:id="11"/>
      <w:r>
        <w:rPr/>
        <w:t xml:space="preserve">– </w:t>
      </w:r>
      <w:r>
        <w:rPr>
          <w:rFonts w:ascii="MathJax Main" w:hAnsi="MathJax Main"/>
        </w:rPr>
        <w:t>COOH</w:t>
      </w:r>
      <w:r>
        <w:rPr/>
        <w:t xml:space="preserve">. 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>2. Przykładem aminokwasu jest glicyna (in. kwas aminoetanowy, kwas aminooctowy).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280410" cy="168656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410" cy="1686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left"/>
        <w:rPr/>
      </w:pPr>
      <w:r>
        <w:rPr/>
        <w:t>Wzór sumaryczny CH</w:t>
      </w:r>
      <w:r>
        <w:rPr>
          <w:vertAlign w:val="subscript"/>
        </w:rPr>
        <w:t>2</w:t>
      </w:r>
      <w:r>
        <w:rPr>
          <w:position w:val="0"/>
          <w:sz w:val="24"/>
          <w:sz w:val="24"/>
          <w:vertAlign w:val="baseline"/>
        </w:rPr>
        <w:t>(</w:t>
      </w:r>
      <w:r>
        <w:rPr>
          <w:color w:val="0066B3"/>
          <w:position w:val="0"/>
          <w:sz w:val="24"/>
          <w:sz w:val="24"/>
          <w:vertAlign w:val="baseline"/>
        </w:rPr>
        <w:t>NH</w:t>
      </w:r>
      <w:r>
        <w:rPr>
          <w:color w:val="0066B3"/>
          <w:vertAlign w:val="subscript"/>
        </w:rPr>
        <w:t>2</w:t>
      </w:r>
      <w:r>
        <w:rPr>
          <w:position w:val="0"/>
          <w:sz w:val="24"/>
          <w:sz w:val="24"/>
          <w:vertAlign w:val="baseline"/>
        </w:rPr>
        <w:t>)</w:t>
      </w:r>
      <w:r>
        <w:rPr>
          <w:color w:val="ED1C24"/>
          <w:position w:val="0"/>
          <w:sz w:val="24"/>
          <w:sz w:val="24"/>
          <w:vertAlign w:val="baseline"/>
        </w:rPr>
        <w:t>COOH</w:t>
      </w:r>
    </w:p>
    <w:p>
      <w:pPr>
        <w:pStyle w:val="Normal"/>
        <w:jc w:val="left"/>
        <w:rPr>
          <w:color w:val="ED1C24"/>
          <w:position w:val="0"/>
          <w:sz w:val="24"/>
          <w:sz w:val="24"/>
          <w:vertAlign w:val="baseline"/>
        </w:rPr>
      </w:pPr>
      <w:r>
        <w:rPr>
          <w:color w:val="ED1C24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3. Właściwości glicyny:</w:t>
      </w:r>
    </w:p>
    <w:p>
      <w:pPr>
        <w:pStyle w:val="Normal"/>
        <w:numPr>
          <w:ilvl w:val="0"/>
          <w:numId w:val="1"/>
        </w:numPr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fizyczne:</w:t>
      </w:r>
    </w:p>
    <w:p>
      <w:pPr>
        <w:pStyle w:val="Normal"/>
        <w:numPr>
          <w:ilvl w:val="0"/>
          <w:numId w:val="0"/>
        </w:numPr>
        <w:ind w:left="720" w:hanging="0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-</w:t>
      </w:r>
    </w:p>
    <w:p>
      <w:pPr>
        <w:pStyle w:val="Normal"/>
        <w:numPr>
          <w:ilvl w:val="0"/>
          <w:numId w:val="0"/>
        </w:numPr>
        <w:ind w:left="720" w:hanging="0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-</w:t>
      </w:r>
    </w:p>
    <w:p>
      <w:pPr>
        <w:pStyle w:val="Normal"/>
        <w:numPr>
          <w:ilvl w:val="0"/>
          <w:numId w:val="0"/>
        </w:numPr>
        <w:ind w:left="720" w:hanging="0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-</w:t>
      </w:r>
    </w:p>
    <w:p>
      <w:pPr>
        <w:pStyle w:val="Normal"/>
        <w:numPr>
          <w:ilvl w:val="0"/>
          <w:numId w:val="1"/>
        </w:numPr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chemiczne:</w:t>
      </w:r>
    </w:p>
    <w:p>
      <w:pPr>
        <w:pStyle w:val="Normal"/>
        <w:numPr>
          <w:ilvl w:val="0"/>
          <w:numId w:val="0"/>
        </w:numPr>
        <w:ind w:left="720" w:hanging="0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-</w:t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4. Zastosowanie aminokwasów: .…………….……….…………………....………...……………….……………………………………………………………………………………………………………………………………………………………………………………..……………………………..………………………………………………………………………………………………..…..……</w:t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000000"/>
          <w:position w:val="0"/>
          <w:sz w:val="24"/>
          <w:sz w:val="24"/>
          <w:vertAlign w:val="baseline"/>
        </w:rPr>
      </w:pPr>
      <w:r>
        <w:rPr>
          <w:color w:val="000000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5. Reakcja kondensacji.</w:t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ED1C24"/>
          <w:position w:val="0"/>
          <w:sz w:val="24"/>
          <w:sz w:val="24"/>
          <w:vertAlign w:val="baseline"/>
        </w:rPr>
      </w:pPr>
      <w:r>
        <w:rPr>
          <w:color w:val="ED1C24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ED1C24"/>
          <w:position w:val="0"/>
          <w:sz w:val="24"/>
          <w:sz w:val="24"/>
          <w:vertAlign w:val="baseline"/>
        </w:rPr>
      </w:pPr>
      <w:r>
        <w:rPr>
          <w:color w:val="ED1C24"/>
          <w:position w:val="0"/>
          <w:sz w:val="24"/>
          <w:sz w:val="24"/>
          <w:vertAlign w:val="baseline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163195</wp:posOffset>
            </wp:positionH>
            <wp:positionV relativeFrom="paragraph">
              <wp:posOffset>169545</wp:posOffset>
            </wp:positionV>
            <wp:extent cx="5547360" cy="3386455"/>
            <wp:effectExtent l="0" t="0" r="0" b="0"/>
            <wp:wrapSquare wrapText="largest"/>
            <wp:docPr id="2" name="Obraz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338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>
          <w:color w:val="ED1C24"/>
          <w:position w:val="0"/>
          <w:sz w:val="24"/>
          <w:sz w:val="24"/>
          <w:vertAlign w:val="baseline"/>
        </w:rPr>
      </w:pPr>
      <w:r>
        <w:rPr>
          <w:color w:val="ED1C24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ED1C24"/>
          <w:position w:val="0"/>
          <w:sz w:val="24"/>
          <w:sz w:val="24"/>
          <w:vertAlign w:val="baseline"/>
        </w:rPr>
      </w:pPr>
      <w:r>
        <w:rPr>
          <w:color w:val="ED1C24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color w:val="ED1C24"/>
          <w:position w:val="0"/>
          <w:sz w:val="24"/>
          <w:sz w:val="24"/>
          <w:vertAlign w:val="baseline"/>
        </w:rPr>
      </w:pPr>
      <w:r>
        <w:rPr>
          <w:color w:val="ED1C24"/>
          <w:position w:val="0"/>
          <w:sz w:val="24"/>
          <w:sz w:val="24"/>
          <w:vertAlign w:val="baseline"/>
        </w:rPr>
      </w:r>
    </w:p>
    <w:p>
      <w:pPr>
        <w:pStyle w:val="Normal"/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 xml:space="preserve">Wiązanie peptydowe </w:t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2065655</wp:posOffset>
            </wp:positionH>
            <wp:positionV relativeFrom="paragraph">
              <wp:posOffset>27305</wp:posOffset>
            </wp:positionV>
            <wp:extent cx="1847850" cy="2466975"/>
            <wp:effectExtent l="0" t="0" r="0" b="0"/>
            <wp:wrapSquare wrapText="largest"/>
            <wp:docPr id="3" name="Obraz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left"/>
        <w:rPr>
          <w:position w:val="0"/>
          <w:sz w:val="24"/>
          <w:sz w:val="24"/>
          <w:vertAlign w:val="baseline"/>
        </w:rPr>
      </w:pPr>
      <w:r>
        <w:rPr>
          <w:position w:val="0"/>
          <w:sz w:val="24"/>
          <w:sz w:val="24"/>
          <w:vertAlign w:val="baseline"/>
        </w:rPr>
      </w:r>
    </w:p>
    <w:p>
      <w:pPr>
        <w:pStyle w:val="Normal"/>
        <w:jc w:val="center"/>
        <w:rPr/>
      </w:pPr>
      <w:r>
        <w:rPr>
          <w:color w:val="ED1C24"/>
          <w:position w:val="0"/>
          <w:sz w:val="24"/>
          <w:sz w:val="24"/>
          <w:vertAlign w:val="baseline"/>
        </w:rPr>
        <w:t xml:space="preserve">UWAGA! </w:t>
      </w:r>
    </w:p>
    <w:p>
      <w:pPr>
        <w:pStyle w:val="Normal"/>
        <w:numPr>
          <w:ilvl w:val="0"/>
          <w:numId w:val="2"/>
        </w:numPr>
        <w:jc w:val="left"/>
        <w:rPr/>
      </w:pPr>
      <w:r>
        <w:rPr>
          <w:color w:val="000000"/>
          <w:position w:val="0"/>
          <w:sz w:val="24"/>
          <w:sz w:val="24"/>
          <w:vertAlign w:val="baseline"/>
        </w:rPr>
        <w:t>Peptydy to produkty łączenia się cząsteczek aminokwasów. W wyniku połączenia dwóch aminokwasów powstaje dipeptyd, zaś w wyniku połączenia trzech aminokwasów – tripeptyd (patrz podręcznik str. 185 „dla dociekliwych”).</w:t>
      </w:r>
    </w:p>
    <w:p>
      <w:pPr>
        <w:pStyle w:val="Normal"/>
        <w:numPr>
          <w:ilvl w:val="0"/>
          <w:numId w:val="2"/>
        </w:numPr>
        <w:jc w:val="left"/>
        <w:rPr/>
      </w:pPr>
      <w:bookmarkStart w:id="12" w:name="__DdeLink__1008_3721987854"/>
      <w:bookmarkEnd w:id="12"/>
      <w:r>
        <w:rPr>
          <w:color w:val="000000"/>
          <w:position w:val="0"/>
          <w:sz w:val="24"/>
          <w:sz w:val="24"/>
          <w:vertAlign w:val="baseline"/>
        </w:rPr>
        <w:t>Białka to polipeptydy zbudowane z dużej liczby fragmentów aminokwasowych.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athJax Main">
    <w:charset w:val="ee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2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rFonts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  <w:rFonts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rFonts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rFonts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rFonts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rFonts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rFonts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rFonts w:cs="OpenSymbol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5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LibreOffice/5.4.0.3$Windows_X86_64 LibreOffice_project/7556cbc6811c9d992f4064ab9287069087d7f62c</Application>
  <Pages>2</Pages>
  <Words>95</Words>
  <Characters>801</Characters>
  <CharactersWithSpaces>882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2020-05-13T19:08:20Z</dcterms:created>
  <dc:creator/>
  <dc:description/>
  <dc:language>pl-PL</dc:language>
  <cp:lastModifiedBy/>
  <dcterms:modified xsi:type="dcterms:W3CDTF">2020-05-13T22:54:29Z</dcterms:modified>
  <cp:revision>2</cp:revision>
  <dc:subject/>
  <dc:title/>
</cp:coreProperties>
</file>